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620"/>
        </w:tabs>
        <w:spacing w:after="156" w:afterLines="50"/>
        <w:jc w:val="center"/>
        <w:rPr>
          <w:rFonts w:ascii="Times New Roman" w:hAnsi="Times New Roman"/>
          <w:b/>
          <w:sz w:val="44"/>
          <w:szCs w:val="44"/>
        </w:rPr>
      </w:pPr>
      <w:bookmarkStart w:id="0" w:name="_GoBack"/>
      <w:bookmarkEnd w:id="0"/>
      <w:r>
        <w:rPr>
          <w:rFonts w:ascii="Times New Roman" w:hAnsi="Times New Roman"/>
          <w:b/>
          <w:sz w:val="44"/>
          <w:szCs w:val="44"/>
        </w:rPr>
        <w:t>机 构 基 本 情 况</w:t>
      </w:r>
    </w:p>
    <w:tbl>
      <w:tblPr>
        <w:tblStyle w:val="6"/>
        <w:tblW w:w="93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6"/>
        <w:gridCol w:w="4179"/>
        <w:gridCol w:w="1479"/>
        <w:gridCol w:w="22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  <w:jc w:val="center"/>
        </w:trPr>
        <w:tc>
          <w:tcPr>
            <w:tcW w:w="1426" w:type="dxa"/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机构名称</w:t>
            </w:r>
          </w:p>
        </w:tc>
        <w:tc>
          <w:tcPr>
            <w:tcW w:w="417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/>
              </w:rPr>
              <w:t>广东华悦建设工程技术有限公司</w:t>
            </w:r>
          </w:p>
        </w:tc>
        <w:tc>
          <w:tcPr>
            <w:tcW w:w="147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成立日期</w:t>
            </w:r>
          </w:p>
        </w:tc>
        <w:tc>
          <w:tcPr>
            <w:tcW w:w="22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2006.08.02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1426" w:type="dxa"/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机构住所</w:t>
            </w:r>
          </w:p>
        </w:tc>
        <w:tc>
          <w:tcPr>
            <w:tcW w:w="417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/>
              </w:rPr>
              <w:t>广东省肇庆市端州区古塔北路紫金台商住楼第1幢二层201室</w:t>
            </w:r>
          </w:p>
        </w:tc>
        <w:tc>
          <w:tcPr>
            <w:tcW w:w="147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隶属地</w:t>
            </w:r>
          </w:p>
        </w:tc>
        <w:tc>
          <w:tcPr>
            <w:tcW w:w="22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/>
              </w:rPr>
              <w:t>肇庆市端州区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  <w:jc w:val="center"/>
        </w:trPr>
        <w:tc>
          <w:tcPr>
            <w:tcW w:w="1426" w:type="dxa"/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单位类型</w:t>
            </w:r>
          </w:p>
        </w:tc>
        <w:tc>
          <w:tcPr>
            <w:tcW w:w="417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/>
              </w:rPr>
              <w:t>有限责任公司</w:t>
            </w:r>
          </w:p>
        </w:tc>
        <w:tc>
          <w:tcPr>
            <w:tcW w:w="147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统一社会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信用代码</w:t>
            </w:r>
          </w:p>
        </w:tc>
        <w:tc>
          <w:tcPr>
            <w:tcW w:w="22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/>
              </w:rPr>
              <w:t>91441200791218048H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1" w:hRule="atLeast"/>
          <w:jc w:val="center"/>
        </w:trPr>
        <w:tc>
          <w:tcPr>
            <w:tcW w:w="1426" w:type="dxa"/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主管部门或举办单位、联营人、股东</w:t>
            </w:r>
          </w:p>
        </w:tc>
        <w:tc>
          <w:tcPr>
            <w:tcW w:w="7904" w:type="dxa"/>
            <w:gridSpan w:val="3"/>
            <w:noWrap w:val="0"/>
            <w:vAlign w:val="center"/>
          </w:tcPr>
          <w:p>
            <w:pPr>
              <w:spacing w:after="156" w:afterLines="5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主管部门（举办单位）：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</w:rPr>
              <w:t>联营人（股东）：广州</w:t>
            </w:r>
            <w:r>
              <w:t>华悦科技有限公司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7" w:hRule="atLeast"/>
          <w:jc w:val="center"/>
        </w:trPr>
        <w:tc>
          <w:tcPr>
            <w:tcW w:w="1426" w:type="dxa"/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业务范围或经营范围</w:t>
            </w:r>
          </w:p>
        </w:tc>
        <w:tc>
          <w:tcPr>
            <w:tcW w:w="7904" w:type="dxa"/>
            <w:gridSpan w:val="3"/>
            <w:noWrap w:val="0"/>
            <w:vAlign w:val="center"/>
          </w:tcPr>
          <w:p>
            <w:pPr>
              <w:tabs>
                <w:tab w:val="left" w:pos="6556"/>
              </w:tabs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/>
              </w:rPr>
              <w:t>一</w:t>
            </w:r>
            <w:r>
              <w:t>类房</w:t>
            </w:r>
            <w:r>
              <w:rPr>
                <w:rFonts w:hint="eastAsia"/>
              </w:rPr>
              <w:t>屋</w:t>
            </w:r>
            <w:r>
              <w:t>建筑</w:t>
            </w:r>
            <w:r>
              <w:rPr>
                <w:rFonts w:hint="eastAsia"/>
              </w:rPr>
              <w:t>（含超限高层）工程，一</w:t>
            </w:r>
            <w:r>
              <w:t>类</w:t>
            </w:r>
            <w:r>
              <w:rPr>
                <w:rFonts w:hint="eastAsia"/>
              </w:rPr>
              <w:t>市政基础设施（给水、排水、道路、隧道、公共交通、风景园林）工程施工图设计文件审查。（依法须经批准的项目，经相关部门批准后方可开展经营活动。）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1426" w:type="dxa"/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机构人员数</w:t>
            </w:r>
          </w:p>
        </w:tc>
        <w:tc>
          <w:tcPr>
            <w:tcW w:w="417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</w:rPr>
              <w:t>42</w:t>
            </w:r>
          </w:p>
        </w:tc>
        <w:tc>
          <w:tcPr>
            <w:tcW w:w="147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/>
              </w:rPr>
              <w:t>审查人员数</w:t>
            </w:r>
          </w:p>
        </w:tc>
        <w:tc>
          <w:tcPr>
            <w:tcW w:w="22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</w:rPr>
              <w:t>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  <w:jc w:val="center"/>
        </w:trPr>
        <w:tc>
          <w:tcPr>
            <w:tcW w:w="1426" w:type="dxa"/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法定代表人</w:t>
            </w:r>
          </w:p>
        </w:tc>
        <w:tc>
          <w:tcPr>
            <w:tcW w:w="417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</w:rPr>
              <w:t>邓江权</w:t>
            </w:r>
          </w:p>
        </w:tc>
        <w:tc>
          <w:tcPr>
            <w:tcW w:w="147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  <w:t>行政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负责人</w:t>
            </w:r>
          </w:p>
        </w:tc>
        <w:tc>
          <w:tcPr>
            <w:tcW w:w="22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/>
              </w:rPr>
              <w:t>郭小丽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  <w:jc w:val="center"/>
        </w:trPr>
        <w:tc>
          <w:tcPr>
            <w:tcW w:w="142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/>
                <w:szCs w:val="21"/>
              </w:rPr>
              <w:t>技术负责人</w:t>
            </w:r>
          </w:p>
        </w:tc>
        <w:tc>
          <w:tcPr>
            <w:tcW w:w="417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/>
              </w:rPr>
              <w:t>王爱权</w:t>
            </w:r>
          </w:p>
        </w:tc>
        <w:tc>
          <w:tcPr>
            <w:tcW w:w="147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工作联系人</w:t>
            </w:r>
          </w:p>
        </w:tc>
        <w:tc>
          <w:tcPr>
            <w:tcW w:w="2246" w:type="dxa"/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</w:rPr>
              <w:t>郭小丽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3" w:hRule="atLeast"/>
          <w:jc w:val="center"/>
        </w:trPr>
        <w:tc>
          <w:tcPr>
            <w:tcW w:w="1426" w:type="dxa"/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通信地址</w:t>
            </w:r>
          </w:p>
        </w:tc>
        <w:tc>
          <w:tcPr>
            <w:tcW w:w="417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</w:rPr>
              <w:t>广东省端州区古塔北路紫金台商住楼第1幢二层201室</w:t>
            </w:r>
          </w:p>
        </w:tc>
        <w:tc>
          <w:tcPr>
            <w:tcW w:w="147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/>
              </w:rPr>
              <w:t>邮政编码</w:t>
            </w:r>
          </w:p>
        </w:tc>
        <w:tc>
          <w:tcPr>
            <w:tcW w:w="22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</w:rPr>
              <w:t>526040</w:t>
            </w:r>
          </w:p>
        </w:tc>
      </w:tr>
    </w:tbl>
    <w:p>
      <w:pPr>
        <w:pStyle w:val="5"/>
        <w:rPr>
          <w:rFonts w:hint="eastAsia"/>
          <w:lang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tabs>
          <w:tab w:val="left" w:pos="1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Times New Roman"/>
          <w:b w:val="0"/>
          <w:bCs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/>
          <w:b w:val="0"/>
          <w:bCs/>
          <w:sz w:val="44"/>
          <w:szCs w:val="44"/>
          <w:lang w:val="en-US" w:eastAsia="zh-CN"/>
        </w:rPr>
        <w:t>广东华悦建设工程技术有限公司</w:t>
      </w:r>
      <w:r>
        <w:rPr>
          <w:rFonts w:hint="eastAsia" w:ascii="方正小标宋简体" w:hAnsi="方正小标宋简体" w:eastAsia="方正小标宋简体"/>
          <w:b w:val="0"/>
          <w:bCs/>
          <w:sz w:val="44"/>
          <w:szCs w:val="44"/>
          <w:lang w:eastAsia="zh-CN"/>
        </w:rPr>
        <w:t>审查人员情况</w:t>
      </w:r>
    </w:p>
    <w:tbl>
      <w:tblPr>
        <w:tblStyle w:val="6"/>
        <w:tblW w:w="1419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1"/>
        <w:gridCol w:w="740"/>
        <w:gridCol w:w="741"/>
        <w:gridCol w:w="740"/>
        <w:gridCol w:w="741"/>
        <w:gridCol w:w="740"/>
        <w:gridCol w:w="741"/>
        <w:gridCol w:w="740"/>
        <w:gridCol w:w="758"/>
        <w:gridCol w:w="740"/>
        <w:gridCol w:w="741"/>
        <w:gridCol w:w="740"/>
        <w:gridCol w:w="741"/>
        <w:gridCol w:w="740"/>
        <w:gridCol w:w="741"/>
        <w:gridCol w:w="740"/>
        <w:gridCol w:w="741"/>
        <w:gridCol w:w="8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专业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建筑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结构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结构（cx）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给水排水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暖通空调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电气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动力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自控</w:t>
            </w:r>
          </w:p>
        </w:tc>
        <w:tc>
          <w:tcPr>
            <w:tcW w:w="758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机械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通信信号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站场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道路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线路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桥梁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园林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环保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勘察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合计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人数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3-2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-4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3-0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7-4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2-1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2-2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75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7-6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2-2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1-1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2-1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30-</w:t>
            </w:r>
            <w:r>
              <w:rPr>
                <w:sz w:val="18"/>
                <w:szCs w:val="18"/>
              </w:rPr>
              <w:t>23</w:t>
            </w:r>
          </w:p>
        </w:tc>
      </w:tr>
    </w:tbl>
    <w:tbl>
      <w:tblPr>
        <w:tblStyle w:val="6"/>
        <w:tblpPr w:leftFromText="180" w:rightFromText="180" w:vertAnchor="text" w:horzAnchor="page" w:tblpXSpec="center" w:tblpY="781"/>
        <w:tblOverlap w:val="never"/>
        <w:tblW w:w="136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4"/>
        <w:gridCol w:w="1203"/>
        <w:gridCol w:w="1442"/>
        <w:gridCol w:w="1027"/>
        <w:gridCol w:w="1108"/>
        <w:gridCol w:w="2007"/>
        <w:gridCol w:w="2146"/>
        <w:gridCol w:w="1486"/>
        <w:gridCol w:w="15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tblHeader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专业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岗位性质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姓 名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性别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年龄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（岁）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执业注册类别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技术职称</w:t>
            </w:r>
          </w:p>
        </w:tc>
        <w:tc>
          <w:tcPr>
            <w:tcW w:w="1486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设计工龄</w:t>
            </w:r>
          </w:p>
          <w:p>
            <w:pPr>
              <w:spacing w:line="28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(年)</w:t>
            </w:r>
          </w:p>
        </w:tc>
        <w:tc>
          <w:tcPr>
            <w:tcW w:w="1534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设计业绩</w:t>
            </w:r>
          </w:p>
          <w:p>
            <w:pPr>
              <w:spacing w:line="28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(项)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建筑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王爱权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65</w:t>
            </w:r>
          </w:p>
        </w:tc>
        <w:tc>
          <w:tcPr>
            <w:tcW w:w="2007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一级注册建筑师</w:t>
            </w:r>
          </w:p>
        </w:tc>
        <w:tc>
          <w:tcPr>
            <w:tcW w:w="2146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结构工程师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33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建筑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王震亮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54</w:t>
            </w:r>
          </w:p>
        </w:tc>
        <w:tc>
          <w:tcPr>
            <w:tcW w:w="200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一级注册建筑师</w:t>
            </w:r>
          </w:p>
        </w:tc>
        <w:tc>
          <w:tcPr>
            <w:tcW w:w="214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建筑设计高级工程师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26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建筑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张幽燕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55</w:t>
            </w:r>
          </w:p>
        </w:tc>
        <w:tc>
          <w:tcPr>
            <w:tcW w:w="200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一级注册建筑师</w:t>
            </w:r>
          </w:p>
        </w:tc>
        <w:tc>
          <w:tcPr>
            <w:tcW w:w="214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建筑学高级工程师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32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结构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陈钧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49</w:t>
            </w:r>
          </w:p>
        </w:tc>
        <w:tc>
          <w:tcPr>
            <w:tcW w:w="2007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一级注册结构工程师</w:t>
            </w:r>
          </w:p>
        </w:tc>
        <w:tc>
          <w:tcPr>
            <w:tcW w:w="2146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建筑结构设计工程师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20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结构CX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王爱权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65</w:t>
            </w:r>
          </w:p>
        </w:tc>
        <w:tc>
          <w:tcPr>
            <w:tcW w:w="200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一级注册结构工程师</w:t>
            </w:r>
          </w:p>
        </w:tc>
        <w:tc>
          <w:tcPr>
            <w:tcW w:w="214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结构工程师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33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结构CX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陆进连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75</w:t>
            </w:r>
          </w:p>
        </w:tc>
        <w:tc>
          <w:tcPr>
            <w:tcW w:w="200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一级注册结构工程师</w:t>
            </w:r>
          </w:p>
        </w:tc>
        <w:tc>
          <w:tcPr>
            <w:tcW w:w="214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结构教授级高工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42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结构CX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王千秋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68</w:t>
            </w:r>
          </w:p>
        </w:tc>
        <w:tc>
          <w:tcPr>
            <w:tcW w:w="200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一级注册结构工程师</w:t>
            </w:r>
          </w:p>
        </w:tc>
        <w:tc>
          <w:tcPr>
            <w:tcW w:w="214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工民建工程师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39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结构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张平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59</w:t>
            </w:r>
          </w:p>
        </w:tc>
        <w:tc>
          <w:tcPr>
            <w:tcW w:w="200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一级注册结构工程师</w:t>
            </w:r>
          </w:p>
        </w:tc>
        <w:tc>
          <w:tcPr>
            <w:tcW w:w="214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工民建高级工程师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32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结构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张永团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51</w:t>
            </w:r>
          </w:p>
        </w:tc>
        <w:tc>
          <w:tcPr>
            <w:tcW w:w="200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一级注册结构工程师</w:t>
            </w:r>
          </w:p>
        </w:tc>
        <w:tc>
          <w:tcPr>
            <w:tcW w:w="214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建筑结构设计高级工程师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19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结构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容居信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52</w:t>
            </w:r>
          </w:p>
        </w:tc>
        <w:tc>
          <w:tcPr>
            <w:tcW w:w="200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一级注册结构工程师</w:t>
            </w:r>
          </w:p>
        </w:tc>
        <w:tc>
          <w:tcPr>
            <w:tcW w:w="214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建筑结构设计高级工程师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30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给排水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吴佩群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女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70</w:t>
            </w:r>
          </w:p>
        </w:tc>
        <w:tc>
          <w:tcPr>
            <w:tcW w:w="200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注册公用设备（给水排水）</w:t>
            </w:r>
          </w:p>
        </w:tc>
        <w:tc>
          <w:tcPr>
            <w:tcW w:w="2146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给水排水高级工程师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30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给排水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潘 宇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51</w:t>
            </w:r>
          </w:p>
        </w:tc>
        <w:tc>
          <w:tcPr>
            <w:tcW w:w="200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注册公用设备（给水排水）</w:t>
            </w:r>
          </w:p>
        </w:tc>
        <w:tc>
          <w:tcPr>
            <w:tcW w:w="214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给水排水工程高级工程师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18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给排水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郑建东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45</w:t>
            </w:r>
          </w:p>
        </w:tc>
        <w:tc>
          <w:tcPr>
            <w:tcW w:w="200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注册公用设备（给水排水）</w:t>
            </w:r>
          </w:p>
        </w:tc>
        <w:tc>
          <w:tcPr>
            <w:tcW w:w="214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给水排水设计高级工程师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18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给排水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黄 盾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65</w:t>
            </w:r>
          </w:p>
        </w:tc>
        <w:tc>
          <w:tcPr>
            <w:tcW w:w="200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注册公用设备（给水排水）</w:t>
            </w:r>
          </w:p>
        </w:tc>
        <w:tc>
          <w:tcPr>
            <w:tcW w:w="214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市政工程教授级高级工程师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35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给排水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郑秋芳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60</w:t>
            </w:r>
          </w:p>
        </w:tc>
        <w:tc>
          <w:tcPr>
            <w:tcW w:w="200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注册公用设备（给水排水）</w:t>
            </w:r>
          </w:p>
        </w:tc>
        <w:tc>
          <w:tcPr>
            <w:tcW w:w="214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给排水高级工程师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33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给排水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韦洪花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44</w:t>
            </w:r>
          </w:p>
        </w:tc>
        <w:tc>
          <w:tcPr>
            <w:tcW w:w="200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注册公用设备（给水排水）</w:t>
            </w:r>
          </w:p>
        </w:tc>
        <w:tc>
          <w:tcPr>
            <w:tcW w:w="214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道路与桥梁高级工程师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18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给排水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易同区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46</w:t>
            </w:r>
          </w:p>
        </w:tc>
        <w:tc>
          <w:tcPr>
            <w:tcW w:w="200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注册公用设备（给水排水）</w:t>
            </w:r>
          </w:p>
        </w:tc>
        <w:tc>
          <w:tcPr>
            <w:tcW w:w="214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给排水高级工程师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16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暖通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空调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赵长中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67</w:t>
            </w:r>
          </w:p>
        </w:tc>
        <w:tc>
          <w:tcPr>
            <w:tcW w:w="200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注册公用设备（暖通空调）</w:t>
            </w:r>
          </w:p>
        </w:tc>
        <w:tc>
          <w:tcPr>
            <w:tcW w:w="2146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暖通正高级工程师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33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暖通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空调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覃创图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45</w:t>
            </w:r>
          </w:p>
        </w:tc>
        <w:tc>
          <w:tcPr>
            <w:tcW w:w="200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注册公用设备（暖通空调）</w:t>
            </w:r>
          </w:p>
        </w:tc>
        <w:tc>
          <w:tcPr>
            <w:tcW w:w="214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暖通工程工程师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15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电气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何娥英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女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59</w:t>
            </w:r>
          </w:p>
        </w:tc>
        <w:tc>
          <w:tcPr>
            <w:tcW w:w="200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注册公用设备（供配电）</w:t>
            </w:r>
          </w:p>
        </w:tc>
        <w:tc>
          <w:tcPr>
            <w:tcW w:w="2146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电力系统及自动化高级工程师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30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电气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谭效国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60</w:t>
            </w:r>
          </w:p>
        </w:tc>
        <w:tc>
          <w:tcPr>
            <w:tcW w:w="200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注册公用设备（供配电）</w:t>
            </w:r>
          </w:p>
        </w:tc>
        <w:tc>
          <w:tcPr>
            <w:tcW w:w="214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工业电气自动化高级工程师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29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道桥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黄均兆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42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</w:p>
        </w:tc>
        <w:tc>
          <w:tcPr>
            <w:tcW w:w="2146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路桥高级工程师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16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道桥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冯超铭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66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</w:p>
        </w:tc>
        <w:tc>
          <w:tcPr>
            <w:tcW w:w="214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路桥梁高级工程师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30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道桥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耿艳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49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</w:p>
        </w:tc>
        <w:tc>
          <w:tcPr>
            <w:tcW w:w="214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道路与桥梁高级工程师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19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道桥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李宝祥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49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</w:p>
        </w:tc>
        <w:tc>
          <w:tcPr>
            <w:tcW w:w="214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道路与桥梁高级工程师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16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道桥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胡丰华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45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</w:p>
        </w:tc>
        <w:tc>
          <w:tcPr>
            <w:tcW w:w="214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道路与桥梁高级工程师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18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道桥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张春园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49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</w:p>
        </w:tc>
        <w:tc>
          <w:tcPr>
            <w:tcW w:w="214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公路桥梁高级工程师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19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道桥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伊魁富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51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</w:p>
        </w:tc>
        <w:tc>
          <w:tcPr>
            <w:tcW w:w="214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道路与桥梁高级工程师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26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园林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张茹彪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60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</w:p>
        </w:tc>
        <w:tc>
          <w:tcPr>
            <w:tcW w:w="2146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园林绿化高级工程师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18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园林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吕 蓓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45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</w:p>
        </w:tc>
        <w:tc>
          <w:tcPr>
            <w:tcW w:w="214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园林高级工程师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17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环保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郭永恒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52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</w:p>
        </w:tc>
        <w:tc>
          <w:tcPr>
            <w:tcW w:w="214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环境保护高级工程师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15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勘察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韦 彪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63</w:t>
            </w:r>
          </w:p>
        </w:tc>
        <w:tc>
          <w:tcPr>
            <w:tcW w:w="200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注册土木工程师（岩土)</w:t>
            </w:r>
          </w:p>
        </w:tc>
        <w:tc>
          <w:tcPr>
            <w:tcW w:w="2146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30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勘察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容居信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52</w:t>
            </w:r>
          </w:p>
        </w:tc>
        <w:tc>
          <w:tcPr>
            <w:tcW w:w="200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注册土木工程师（岩土)</w:t>
            </w:r>
          </w:p>
        </w:tc>
        <w:tc>
          <w:tcPr>
            <w:tcW w:w="214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建筑结构设计高级工程师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30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5</w:t>
            </w:r>
          </w:p>
        </w:tc>
      </w:tr>
    </w:tbl>
    <w:p>
      <w:pPr>
        <w:spacing w:after="468" w:afterLines="150"/>
        <w:ind w:firstLine="360" w:firstLineChars="200"/>
        <w:rPr>
          <w:rFonts w:hint="eastAsia" w:ascii="方正小标宋简体" w:hAnsi="方正小标宋简体" w:eastAsia="方正小标宋简体"/>
          <w:b w:val="0"/>
          <w:bCs/>
          <w:sz w:val="44"/>
          <w:szCs w:val="44"/>
          <w:lang w:eastAsia="zh-CN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  <w:r>
        <w:rPr>
          <w:rFonts w:ascii="Times New Roman" w:hAnsi="Times New Roman"/>
          <w:sz w:val="18"/>
          <w:szCs w:val="18"/>
        </w:rPr>
        <w:t>注：1.人数填写为：总人数－60周岁以下人数；3.“结构（cx）”人数为结构专业超限高层审查人数；3.“合计”人数不计“结构（cx）”人数</w:t>
      </w:r>
    </w:p>
    <w:p>
      <w:pPr>
        <w:keepNext w:val="0"/>
        <w:keepLines w:val="0"/>
        <w:pageBreakBefore w:val="0"/>
        <w:widowControl w:val="0"/>
        <w:tabs>
          <w:tab w:val="left" w:pos="1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Times New Roman"/>
          <w:b w:val="0"/>
          <w:bCs/>
          <w:sz w:val="44"/>
          <w:szCs w:val="44"/>
          <w:highlight w:val="none"/>
          <w:lang w:eastAsia="zh-CN"/>
        </w:rPr>
      </w:pPr>
      <w:r>
        <w:rPr>
          <w:rFonts w:hint="eastAsia" w:ascii="方正小标宋简体" w:hAnsi="方正小标宋简体" w:eastAsia="方正小标宋简体"/>
          <w:b w:val="0"/>
          <w:bCs/>
          <w:sz w:val="44"/>
          <w:szCs w:val="44"/>
          <w:lang w:val="en-US" w:eastAsia="zh-CN"/>
        </w:rPr>
        <w:t>广东华悦建设工程技术有限公司</w:t>
      </w:r>
      <w:r>
        <w:rPr>
          <w:rFonts w:hint="eastAsia" w:ascii="方正小标宋简体" w:hAnsi="方正小标宋简体" w:eastAsia="方正小标宋简体" w:cs="Times New Roman"/>
          <w:b w:val="0"/>
          <w:bCs/>
          <w:sz w:val="44"/>
          <w:szCs w:val="44"/>
          <w:highlight w:val="none"/>
          <w:lang w:eastAsia="zh-CN"/>
        </w:rPr>
        <w:t>审查人员业绩</w:t>
      </w:r>
    </w:p>
    <w:tbl>
      <w:tblPr>
        <w:tblStyle w:val="6"/>
        <w:tblW w:w="13926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9"/>
        <w:gridCol w:w="1379"/>
        <w:gridCol w:w="3922"/>
        <w:gridCol w:w="1050"/>
        <w:gridCol w:w="653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姓 名</w:t>
            </w: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完成年月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项  目  名  称（至少5项）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项目规模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对应规模的项目特征描述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王爱权</w:t>
            </w: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2005.3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珠海市广生商业城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高级大型公建、28479.7平方米、框架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2006.12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珠海市同创有限公司厂房A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大型厂房、框架，跨度48m 29623平方米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2003.1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阳江市林涛房地产有限公司阳江国贸中心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高级大型公建、25871.7平方米、框架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2004.5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instrText xml:space="preserve"> HYPERLINK "http://newhouse.yangjiang.fang.com/company/2824043716_20120220154440.htm" \o "http://newhouse.yangjiang.fang.com/company/2824043716_20120220154440.htm" </w:instrTex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fldChar w:fldCharType="separate"/>
            </w:r>
            <w:r>
              <w:rPr>
                <w:rStyle w:val="8"/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  <w:t>阳春中汇置业有限公司中汇·星座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高级大型公建、42507.99平方米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2003.02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茂名市伟华物资供应有限公司御湖国际商住小区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大型房地产、146608平方米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王震亮</w:t>
            </w: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2016.12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金地湾和府一期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住宅，单体建筑面积23980平方米，剪力墙，32层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2014.1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万科蓝山项目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商住楼，1-16#楼，高层18-32层，建筑面积约136500 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2014.5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金海湾别墅改造项目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别墅、高层积177000平方米，除别墅外，H1-H9高层区均高98.6米，为34层。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2014.5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诚品格调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底公建，上住宅，单体建筑面积35000平方米，高度99.6米，33层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2014.12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电子研究所及周边旧区改造地块4#5#6#楼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住宅，高度为94、94、75.4米，层数分别为31、31、25层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张幽燕</w:t>
            </w: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2007年11月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中国石油大学（北京）石油研修大厦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总建筑面积35980.11平方米,其中地上面积32069.88平方米,地下3910.23平方米。地上13层，地下1层。建筑高度54.10米。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2008年9月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北京财贸职业学院通州校区新建实训大楼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总建筑面积26999.56平方米,其中地上面积21999.69平方米,地下4999.87平方米。地上12层，地下1层。建筑高度51.30米。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2009年5月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北京市海淀区外语电子职业高中新建校区教学实验综合楼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总建筑面积43098.8平方米,其中地上面积34193.2平方米,地下8905.6平方米。地上5层，地下1层。建筑高度17.95米。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2010年7月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北京成寿寺二期经济适用房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总建筑面积315230.42平方米,其中地上面积269740.00平方米,地下45490.42平方米。地上22层，地下2层。建筑高度63.90米。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2011年10月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松林里危改小区总体规划及单体设计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总建筑面积348160.81平方米,其中地上面积293780.13平方米,地下54380.68平方米。地上212层，地下2层。建筑高度60.00米。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陈钧</w:t>
            </w: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2018.7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桂林新城二期、三期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22万平面米，剪力墙结构、框架结构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2018.1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麓府6期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8万平面米，框架结构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2018.12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龙湖保障房（52~54#）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11万平面米，剪力墙结构（超高层）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2019.1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泰禾D2期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12万平方米，框架结构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2019.3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祁东奥园广场C地块、地下室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2.8万平方米，剪力墙结构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王爱权</w:t>
            </w: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2006.12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珠海市体育运动学校综合训练馆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超限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单体21096平方米、大型公建、钢网格结构，局部多层，超限表5.2：空间钢网格结构屋面，跨度135米，高25米（超限120米）。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2005.3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湖南永兴县体育馆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超限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大型公建、单体27780平方米、钢网格结构。超限表5.2：空间钢网格结构屋面，跨度150米，高30米（超限120米）。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0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2003.1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珠海市斗门电视大学教学综合楼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超限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高级大型公建、单体23920平方米、框架，高33.8，8层。2a、平面凹凸尺寸大于相应边长30%；3、有效宽度小于50%，开洞面积大于30%；4a、刚度连三层变化大于80%。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2004.5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instrText xml:space="preserve"> HYPERLINK "http://newhouse.yangjiang.fang.com/company/2824043716_20120220154440.htm" \o "http://newhouse.yangjiang.fang.com/company/2824043716_20120220154440.htm" </w:instrTex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fldChar w:fldCharType="separate"/>
            </w:r>
            <w:r>
              <w:rPr>
                <w:rStyle w:val="8"/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  <w:t>阳春中汇置业有限公司中汇·星座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高级大型公建、42507.99平方米、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2003.02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茂名市伟华物资供应有限公司御湖国际商住小区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大型房地产、146608平方米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陆进连</w:t>
            </w:r>
          </w:p>
        </w:tc>
        <w:tc>
          <w:tcPr>
            <w:tcW w:w="137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2011.12</w:t>
            </w:r>
          </w:p>
        </w:tc>
        <w:tc>
          <w:tcPr>
            <w:tcW w:w="392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晋江万达广场商业综合体</w:t>
            </w:r>
          </w:p>
        </w:tc>
        <w:tc>
          <w:tcPr>
            <w:tcW w:w="10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地下二层，购物中心地上六层，主体为框架结构，甲级写字楼地上二十五层，主体为框架-核心筒结构，建筑面积34万平方米，建筑高度30~99m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9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2012.12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361度(中国)有限公司办公楼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超限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地下二层，地上九层，建筑面积为32730.7平方米，建筑高度49.1m，结构主体为框架剪力墙结构，是复杂超限高层。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2013.11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龙岩万达广场综合体(五星级酒店）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超限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地下二层，地上十八层，建筑面积为32330平方米，建筑高度84.83m，结构主体为框架-核心筒结构，是复杂超限高层。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2014.5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龙岩万达广场综合体(甲级写字楼)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超限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地下二层，地上四十层，建筑面积为70100平方米，建筑高度159.6m，主体为框架-核心筒结构，是超限高层。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2014.12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石狮豪富大酒店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地下二层，地上二十二层，建筑面积为59346.5平方米，建筑高度为88.45m，主体为剪力墙结构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王千秋</w:t>
            </w: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2015.3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武汉绿地金融城招标项目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超限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建筑高度600m，建筑面积60万平方米，巨型框架核心筒结构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0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2014.9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路上岛住宅二期1~3#楼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超限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剪力墙结构，高度超过B级高度的超限结构，高度为156.95米。共53层，16 \31\ 46层为避难层，层高3.15米，其它为标准层，层高2.95米，地下室3层层高4.5米。每栋建筑面积约3.2万平方米，共约9.7万平方米。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2016.2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深圳市宝安区大空港商业配套项目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超限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建筑高度220m，建筑面积20万平方米，框架核心筒结构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2013.8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四川万源拆迁安置项目火车站1-4#商住楼（底商住宅）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3-4#商住楼建筑面积2*2.84＝5.67万平方,米，高度100m,32层，1-2#商住楼建筑面2*2.44＝4.48万平方米，高度99.1m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2012.5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辽宁抚顺海赋外滩一期项目（底商住宅）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建筑面积2.2*7＝15万平方米，高度85m，29层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张平</w:t>
            </w: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2015.5-2016.1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长春新星宇上临项目B-1地块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155000平方，24层，76米    住宅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2016.4-2016。12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长春市双阳区黄山路A地块项目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62000平方，24层，76米     住宅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2016.11-2017.7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万豪世纪广场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158000平方，18层，68米    住宅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2017.5-2017.11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四平加利利置业有限公司住宅小区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106000平方，24层，72米    住宅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2017．12-2018．4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长春万达中心商业建设项目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63000平方，12层，52米     住宅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张永团</w:t>
            </w: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2000.01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肇庆市好世界购物中心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地下1层，地上12层6.95万平方米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2004.6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肇庆新世界花园B、C区商住楼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地下1层，地上7-26层，11.4万平方米 商住楼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2002.1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肇庆电力调度通信大楼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地下1层，地上19层，3.9万平方米 办公综合楼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2004.8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嘉湖新都市赏湖居、景湖居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7-12层,总面积4.4万平方米 商住楼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2006-.7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肇庆新世界花园D、E区商住楼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地下1层，地上7-26层，总面积18.6万平方米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容居信</w:t>
            </w: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1999.8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肇庆发展广场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框剪25层，地下一层，35373平方米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2005.7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肇庆时代广场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框剪21层，地下一层，72575平方米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2007.6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星湖国际广场购物中心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框架4层，地下一层，82541平方米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2009.5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恒裕海湾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框剪16~19层，地下一层，48.9万平方米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2010.5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尚东康城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框剪4~18层，地下一层，34.7万平方米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吴佩群</w:t>
            </w: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1992年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厦门工商企业综合大楼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28层，建筑高度98.9米，荣获省优秀设计一等奖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1995年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郴州市工商银行综合大楼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28层，建筑高度99.8米，荣获省优秀设计二等奖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1996年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中航310厂迁建总体工程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总建筑面积32万平方米，荣获航空工业优秀工程设计二等奖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2006年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西湖丽景住宅小区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总用地面积24537平方米，建筑面积75204平方，中国勘察设计协会 住宅与住宅小区等奖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1998年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湖南常德银兴大酒店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26层，总建筑高度为99.96米，荣获省优秀设计二等奖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潘 宇</w:t>
            </w: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2015.8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大庆油田龙南医院医院办公室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大型公建，2.5万平方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2013.6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大庆油田天宇设计院办公楼建设工程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6层办公楼，2.5万平方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2012.5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大庆油田方晓地区雨水排水提升站建设工程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面积250万平方，方晓地区污水站（1080m3/h）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2011.7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大庆油田供排水调度中心建设工程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二类高层，10层，主楼加裙楼共2万平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2012.1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大庆油田方晓地区雨水提升站建设工程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方晓地区雨水站，面积250万平方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郑建东</w:t>
            </w: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2009.7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北海穗丰金湾小区1栋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建筑面积65315平方米，一类商住楼。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2010.4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雅居乐清新北项目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建筑面积53086平方米，一类住宅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2010.5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雅居乐石楼东项目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建筑面积34489平方米，一类住宅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2010.9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雅居乐青新南3-3地块项目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建筑面积138836平方米，一类商住楼、公建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2010.11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雅居乐南区4-3地块项目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建筑面积172492平方米，一类商住楼、公建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黄 盾</w:t>
            </w: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2010-2013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武汉高铁客站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22万平方米；特大型综合性高铁站房, 投资约25亿元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2011-2014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汉口高铁客站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18万平方米；特大型综合性高铁站房, 投资约15亿元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2012-2014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广州南高铁客站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25万平方米；特大型综合性高铁站房, 投资约28亿元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2013-2015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南京南高铁客站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24万平方米；特大型综合性高铁站房, 投资约26亿元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2014-2016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合肥南高铁客站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15万平方米；特大型综合性高铁站房, 投资约12亿元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郑秋芳</w:t>
            </w: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2016.12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龙城壹号项目住宅5号楼/6号楼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地上32层，地下2层，总建筑面积97371.02平方米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2017.5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金屋.紫都城二期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地上20层，地下一层，总建筑面积40703.52平方米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2008.9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临汾中梁首府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1#28层.2#23层.3#23层.4#25层.5#29层.7#31层.洋房.6#7层.8#8层等建筑物.总面积：181994.63平方米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2014.9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荣兴.天顺住宅小区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1# 4# .7#地上30层，地下2层，5#.6#地上28层，地下2层，总建筑面积：166244平方米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2005.7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怡润家园1#-6#住宅小区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地上26层，地下一层，总建筑面积117066平方米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</w:trPr>
        <w:tc>
          <w:tcPr>
            <w:tcW w:w="10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韦洪花</w:t>
            </w: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2003.07~2005.02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绵阳市涪城区园艺科技园区路网施工图设计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包含园区内一~十二号路等十二条道路，路宽12~35米宽，总长约15公里，水泥砼路面，雨污水管道单侧布置，管径d1600~d1800，管道总长约30公里，总造价约7500万元。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2007.10~2007.12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经开区涪滨路施工图设计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道路总长7.2公里，宽37米，雨污水单侧布置，管径d1400~d1800，管道总长约15公里，总造价约9000万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2008.08~2008.10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城郊乡金家岭配套产业园1、2、3、4号路施工图设计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项目总长约6公里，道路宽度20~30米，雨污水管道单侧布置，管径d1400~d1800，管道总长约12公里，总造价约5000万元。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2011.04~2011.06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高新区新区路网工程，包含B10、B12、B13、B14、B3及2号路等项目的施工图设计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项目总长约8公里，道路宽度20~40米，雨污水管道单/双侧布置，管径d1400~d1800，管道总长约17公里，总造价约1亿元。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2010.10~2012.10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陆续完成绵阳市教育园区路网设计，包含一、四、五、六号路，一号路北向沿长度及二期工程的A、B、C号路等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道路总长11公里，宽16~30米，雨污水管道单侧布置，管径d1400~d1800，管道总长约22公里，总造价约1.5亿元。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5" w:hRule="atLeast"/>
        </w:trPr>
        <w:tc>
          <w:tcPr>
            <w:tcW w:w="10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易同区</w:t>
            </w: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2008年9月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国道205深圳段改建工程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市政项目，起点深圳市布吉检查站，终点国道205深圳与惠州交界处，线路总长约36公里，主要包括土建工程、路面工程、给排水工程、交通安全设施、电力工程、燃气工程、监控工程等。雨水管DN1600，污水管DN600。给水管DN500，燃气管DN300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0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2013年10月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东莞水乡大道改造提升工程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市政项目，西起西部干道新沙路口，东至东莞大道莞太路立交。线路总长17.3公里。主要包括：道路、园林绿化、园林建筑、给排水、照明、市政配套设施、管线改迁等。雨水管DN1500，污水管DN600，给水管DN400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2006年10月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深圳市福田交通综合枢纽换乘中心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大型，项目总建筑面积136753.48㎡，地下2层，地上4层，总高度28.98米。一类公共建筑。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2008年10月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深圳地铁一期老街站换乘综合体深圳地铁一期老街站换乘综合体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大型，项目总建筑面积32075㎡，地下四层，地上15层，总高度59.25.一类高层建筑。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2012年12月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惠州德丰公馆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大型，项目总建筑面积589191.55㎡，地下2层，地上26层，总高度99.7米。一类高层综合楼。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赵长中</w:t>
            </w: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1998.12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中国民航学院新区第一期工程主教学楼A\B 区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2.1+0.74万平方米，地上5层，总高19.8米，1级，获天津市优秀工程奖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2001.2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新文化花园新秀居（商住楼）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5.6万平方米，地下1层，地上14层，总高47米，1级，获天津市优秀设计三等奖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2001.8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新文化药园新丽居（商住楼）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9.6万平方米，地下2层，总高24米，1级，获天津市优秀设计三等奖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2004.4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罗姆半导体（中国）天津工厂（设计中心栋、生产栋A、B）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10.9万平方米，地下1层，地上3层，总高16.2实。2级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2005.8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君宜大厦（写字楼）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9.1万平方米，地下3层，地上35层，总高137米，特级，获天津市优秀设计三等奖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覃创图</w:t>
            </w: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2019年10月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河南省郑州市三雄极光LED厂房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5栋高层厂房，总建筑面积约20.8万平方米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2019年12月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茂名市电白区马踏新城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2栋高层住宅，总建筑面积约3.6万平方米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2020年4月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广州市白云区隆腾汇商业广场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5栋高层公共建筑，总建筑面积约20.8万平方米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2020年6月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江西省赣州市南康区弘德医院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1栋高层公共建筑，总建筑面积约6.5万平方米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2020年8月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江苏省句容市湖湾花园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共17栋高层住宅，总建筑面积约25.6万平方米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0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何娥英</w:t>
            </w: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2011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厦门正新橡胶工业有限公司集美厂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厂区总建筑面积73.7万平方，其中裁断成型车间3万平方米，跨度38米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2019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贵州轮胎股份有限公司厂房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厂区总建筑面积110万平方，其中子午轮胎车间（一）9.11万平方米，跨度24米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2013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中策橡胶（建德）有限公司厂房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厂区总建筑面积33.428万平方，其中轮胎车间（III）5.2万平方米，跨度20米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2019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杭州中策清泉实业有限公司厂区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厂区总建筑面积33.9万平方米，投资30亿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2019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中策橡胶（安吉）有限公司厂房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厂区总建筑面积92.8765万平方米，其中车间（三）7.6237万平方米，跨度20米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0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谭效国</w:t>
            </w: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2011.12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海南龙立马投资有限公司海南椰风海韵项目A1栋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一类高层公共建筑，地上18层，地下一层，建筑高度55米，建筑面积27408.86平方米。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2012.01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海南龙立马投资有限公司海南冯家湾项目A2-2栋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属一类高层建筑，高级商住楼，地上18层，地下一层，建筑高度54米，建筑面积23226.74平方米。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2013.01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苏州嘉柏仓库项目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大型、属丙二类建筑，地上一层，局部三层，建筑高度13,8米总建筑面积94567平方米，属技术要求复杂工业厂房。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2014.12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义乌市后宅街道前毛店村1~5号楼及地下室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地上16层，一、二层为商业，三层以上为住宅。建筑高度51.9米，总建筑面积149811平方米。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2014、04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义乌市易开盖实业公司饮料盖基地厂房一、二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主体建筑五层，建筑高度28.05米，总建筑面积72495.78平方米。属高层戊类技术要求复杂的工业厂房。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黄均兆</w:t>
            </w: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2014年9月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云浮市都杨至云安公路新建工程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大型：一级公路，路线全长13.519 公里，路基宽度23.0 米。大、中桥1628.68 米/11 座，涵洞45 道，平面交叉工程4 处。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2015年4月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佛山市高明区丽江路（三富线至海华路段）建设工程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大型：路线全长2.088公里，标准宽度80米，设计速度80km/h的双向六车道主干路。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2015年10月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西江新城核心启动区二期合作开发项目——新江路（荷富路—祥福路）建设工程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大型：路线全长1.8公里，标准宽度45米，设计速度60km/h的双向六车道主干路。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2016年4月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珠海富山产业新城起步区外马山南路道路工程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大型：道路全长3414m，城市主干路，路幅宽36m，双向4车道。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2012年9月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郁南县二河大桥新建工程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大型：桥梁全长208.12米，5×40米预应力先简支后连续箱梁。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冯超铭</w:t>
            </w: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2020~2021年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疏港大道建设工程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大型、一级公路、4.01亿元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2021~2022年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思劳东新高速出入口连接线东片土地平整及道路工程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大型、市政主干道、1.08亿元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2021~2022年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云安区六都镇冬城村茅坪垌地块土方平整及道路工程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大型、市政主干道、1.06亿元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2021~2022年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G234线郁南连滩高速公路口至镇段改造工程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大型、一级公路、0.98亿元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2022~2023年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佛山（云浮)产业转移工业园黄泥塘片区土地平整工程及道路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大型、市政主干道、1.52亿元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耿艳</w:t>
            </w: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2010.06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黑大线路面工程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  国道40.56公里，路面宽24米。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2010.1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金泉线（中心屯-泉眼头）路面工程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  一级路37.83公里，路面宽26米。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2010.11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彰桓线（县界至东检段）路基路面工程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 主干道12.6公里，路面宽8.5米。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2013.02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黑大线（苍石至栏木桥段）维修改造工程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  国道48公里，路面宽20米。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2013.1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南敖线水毁工程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  主干道5.865公里，路面宽7米。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李宝祥</w:t>
            </w: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2009.04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沈吉铁路八里村平改立工程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主干道2.8公里，路面宽20米。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2010.04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清原互通式立交出口连接线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主干道 3.5公里，路面宽12米。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2013.03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G202黑大线（章党至新村东段）改扩建工程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国道90.547公里，路面宽24米。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2013.08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阿平线（阿尔当-敖家堡）公路改扩建工程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省道29.841公里，路面宽8.5米。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2013.09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彰桓线（东昌台至县界段）路基路面工程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省道53.23公里，路面宽8.5米。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胡丰华</w:t>
            </w: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2010.3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桂林市临桂新区花园路建设工程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城市主干道，2.6公里，造价为4860万，项目负责人，负责道路专业设计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2012.7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南宁市民族广场周边市政改造--（园湖路-新民路、星湖路—古城路）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市政道路工程，一级公路，投资6600万元，其中古城路3.8公里为单向4车道、含隧道2处。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2015.3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南宁市机场高速路延长线工程（至新航站楼）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一级公路，总投资10416万元，互通式立交桥1座，全长11.5公里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2014.3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南宁市竹溪大道（全程23.1公里）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城市快速线（含立体交叉线），单向4车道，造价7500万元工程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2014.12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南宁市机场南友高速工程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高速公路，总投资9715万元工程，负责道路勘察、设计工作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张春园</w:t>
            </w: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2006年12月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杭新景高速公路SLC5合同段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高速公路15.35公里，路宽40米。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2009年3月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瑞赣高速公路SP2标段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高速公路28.21公里，路宽35米。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2010年9月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渝湛高速A10合同段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大型：高速公路11.24公里，路宽45米。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2012年6月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抚州至吉安高速公路项目A4合同段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大型：高速公路9.6公里，路宽36米。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2013-12月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内蒙古自治区赤峰市国道303线林西至热水段公路建设项目土建工程LRTJ-02合同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国道25.78公里，路宽30米。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伊魁富</w:t>
            </w: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1999.9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明沈线路基路面工程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路线全长8.6km，双向6车道，高速公路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2003.7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新城子区公路网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路线全长58.3km，城市主干道及配套工程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2008.12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新蔡线工程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路线全长16.4km，桥梁、涵洞各1座，一级公路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2010.6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蒲河新城道路新建工程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路线全长5.6km，城市主干道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2011.8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烟郝线公路工程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路线全长11.7km，桥梁2座（跨度25米），一级公路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张茹彪</w:t>
            </w: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2009.1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宝石广场建设工程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面积2万平方米，投资额2000万元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2014.1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北普陀山改造工程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7.26平方公里，投资额2800万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2011.1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市府广场建设工程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5万平方米，投资额3000万元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2009.11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锦州滨海体育中心建设工程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33万平方米，投资额11.5亿元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2012.6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锦州市两河城区段治理工程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400万平方米，投资额22亿元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吕 蓓</w:t>
            </w: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2005.5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南熏大道慢行系统景观工程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投资9500万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2006.9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成都市防火减灾主题公园项目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投资1.5亿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2007.1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二绕兴义出口匝道景观打造项目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投资3500万元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2008.5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岷东新区污水处理一厂生态环境修复项目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投资3800万元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2010.5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少城睡区墉市有机更新项目勘察-设计-施工总承包二标段合同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投资1.3亿元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2010.1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成都万华麓湖G26绿地景观桥设计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投资7000万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郭永恒</w:t>
            </w: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2007年10月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天津钢管集团460水处理项目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水处理量：13000立方米/小时。主要分为净环系统和浊环水系统。通过沉淀、过滤、冷却、加药保证循环水水质达标，满足环保要求，达到零排放。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2008年10月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天津钢管集团258水处理项目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水处理量：6000立方米/小时。主要分为净环系统和浊环水系统。通过沉淀、过滤、冷却、加药保证循环水水质达标，满足环保要求，达到零排放。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2012年10月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天津钢管大口径水处理项目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水处理量：10000立方米/小时。主要分为净环系统和浊环水系统。通过沉淀、过滤、冷却、加药保证循环水水质达标，满足环保要求，达到零排放。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2018年11月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滨海热电厂锅炉脱销改造项目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对三台130T/h和三台75T/h循环硫化床锅炉进行了SNCR改造，使烟气中的氮氧化物符合超低排放要求。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2019年11月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滨海热电厂烟气冷凝水和余热回收项目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对三台130T/h和三台75T/h循环硫化床锅炉的烟气中冷凝脱水和余热回收，保证烟气中环保达标，杜绝烟气带水。同时回收系统中的冷凝水作为采暖的一次水使用，达到能源的循环利用。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韦 彪</w:t>
            </w: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2010.05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华府景城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14幢楼，框架9~20层，总建筑面积约21万平方米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2011.05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领袖嘉园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32幢住宅楼框架4~18层，19.44万平方米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2012.01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滨河人家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16幢住宅楼，框架6~24层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2012.5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京都华府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12幢住宅楼、商业楼，框架3~17层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2013.03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   江南名苑二期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7幢住宅楼，框架11~23层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容居信</w:t>
            </w: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1999.8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肇庆发展广场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框剪25层，地下一层，35373平方米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2005.7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肇庆时代广场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框剪21层，地下一层，72575平方米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2007.6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星湖国际广场购物中心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框架4层，地下一层，82541平方米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2009.5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恒裕海湾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框剪16~19层，地下一层，48.9万平方米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2010.5</w:t>
            </w:r>
          </w:p>
        </w:tc>
        <w:tc>
          <w:tcPr>
            <w:tcW w:w="3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尚东康城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框剪4~18层，地下一层，34.7万平方米</w:t>
            </w:r>
          </w:p>
        </w:tc>
      </w:tr>
    </w:tbl>
    <w:p>
      <w:pPr>
        <w:pStyle w:val="2"/>
        <w:ind w:left="0" w:leftChars="0" w:firstLine="0" w:firstLineChars="0"/>
        <w:rPr>
          <w:rFonts w:hint="eastAsia"/>
          <w:lang w:eastAsia="zh-CN"/>
        </w:rPr>
      </w:pPr>
    </w:p>
    <w:p>
      <w:pPr>
        <w:pStyle w:val="2"/>
        <w:ind w:left="0" w:leftChars="0" w:firstLine="0" w:firstLineChars="0"/>
        <w:rPr>
          <w:rFonts w:hint="eastAsia"/>
          <w:lang w:eastAsia="zh-CN"/>
        </w:rPr>
      </w:pPr>
    </w:p>
    <w:p>
      <w:pPr>
        <w:pStyle w:val="2"/>
        <w:rPr>
          <w:rFonts w:hint="eastAsia"/>
          <w:lang w:eastAsia="zh-CN"/>
        </w:rPr>
      </w:pPr>
    </w:p>
    <w:p>
      <w:pPr>
        <w:pStyle w:val="2"/>
        <w:rPr>
          <w:rFonts w:hint="eastAsia"/>
          <w:lang w:eastAsia="zh-CN"/>
        </w:rPr>
      </w:pPr>
    </w:p>
    <w:p>
      <w:pPr>
        <w:pStyle w:val="2"/>
        <w:rPr>
          <w:rFonts w:hint="eastAsia"/>
          <w:lang w:eastAsia="zh-CN"/>
        </w:rPr>
      </w:pPr>
    </w:p>
    <w:p>
      <w:pPr>
        <w:pStyle w:val="2"/>
        <w:rPr>
          <w:rFonts w:hint="eastAsia"/>
          <w:lang w:eastAsia="zh-CN"/>
        </w:rPr>
      </w:pPr>
    </w:p>
    <w:p>
      <w:pPr>
        <w:pStyle w:val="5"/>
        <w:rPr>
          <w:rFonts w:hint="eastAsia"/>
          <w:lang w:eastAsia="zh-CN"/>
        </w:rPr>
      </w:pPr>
    </w:p>
    <w:p/>
    <w:sectPr>
      <w:pgSz w:w="16838" w:h="11906" w:orient="landscape"/>
      <w:pgMar w:top="1587" w:right="1644" w:bottom="1474" w:left="1417" w:header="851" w:footer="1587" w:gutter="0"/>
      <w:pgNumType w:fmt="numberInDash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xNjY1YWU0Y2M4ZDU0NmZmMGY0ZDRhZTU4ZmUyNmEifQ=="/>
  </w:docVars>
  <w:rsids>
    <w:rsidRoot w:val="00172A27"/>
    <w:rsid w:val="1F7B4C13"/>
    <w:rsid w:val="25D350AF"/>
    <w:rsid w:val="366FC8B3"/>
    <w:rsid w:val="377D8AFC"/>
    <w:rsid w:val="3D5E2181"/>
    <w:rsid w:val="3E7D0BE4"/>
    <w:rsid w:val="3F761FA8"/>
    <w:rsid w:val="46FB4C62"/>
    <w:rsid w:val="4AE88697"/>
    <w:rsid w:val="4BDF6260"/>
    <w:rsid w:val="4FFDEBAA"/>
    <w:rsid w:val="50EF6C70"/>
    <w:rsid w:val="57ADD760"/>
    <w:rsid w:val="57FF9E52"/>
    <w:rsid w:val="5EF3EB67"/>
    <w:rsid w:val="6BC66FC8"/>
    <w:rsid w:val="6D9B6B39"/>
    <w:rsid w:val="6DEFAD54"/>
    <w:rsid w:val="73F72F2E"/>
    <w:rsid w:val="7A7DC2F9"/>
    <w:rsid w:val="7AFFAABE"/>
    <w:rsid w:val="7B774BDD"/>
    <w:rsid w:val="7BBE52D5"/>
    <w:rsid w:val="7C7E0CBD"/>
    <w:rsid w:val="7EC22082"/>
    <w:rsid w:val="7EFEEB6E"/>
    <w:rsid w:val="7F3FAFC0"/>
    <w:rsid w:val="7F4EF6BB"/>
    <w:rsid w:val="7F94E6B3"/>
    <w:rsid w:val="7FF9D71C"/>
    <w:rsid w:val="7FFE2B08"/>
    <w:rsid w:val="95FE3B25"/>
    <w:rsid w:val="9B7E0F18"/>
    <w:rsid w:val="B66981BE"/>
    <w:rsid w:val="BAB58B83"/>
    <w:rsid w:val="BEEE8DD9"/>
    <w:rsid w:val="BF7BC4D6"/>
    <w:rsid w:val="BF8BD469"/>
    <w:rsid w:val="BFE6F85B"/>
    <w:rsid w:val="C7F73C78"/>
    <w:rsid w:val="D3E33586"/>
    <w:rsid w:val="DFF9391C"/>
    <w:rsid w:val="E7FFFB62"/>
    <w:rsid w:val="EF8C9700"/>
    <w:rsid w:val="EFD3A5F7"/>
    <w:rsid w:val="EFFF195E"/>
    <w:rsid w:val="F2FBCD9D"/>
    <w:rsid w:val="F3FFB688"/>
    <w:rsid w:val="F72FEE01"/>
    <w:rsid w:val="F7AED0DE"/>
    <w:rsid w:val="FA5C4B65"/>
    <w:rsid w:val="FBFD4AEF"/>
    <w:rsid w:val="FED3A4EF"/>
    <w:rsid w:val="FEFE83A4"/>
    <w:rsid w:val="FF8F95A3"/>
    <w:rsid w:val="FFBE5A07"/>
    <w:rsid w:val="FFEBDC50"/>
    <w:rsid w:val="FFFDE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99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宋体" w:eastAsia="宋体" w:cs="宋体"/>
      <w:szCs w:val="21"/>
    </w:rPr>
  </w:style>
  <w:style w:type="paragraph" w:styleId="4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ind w:firstLine="200" w:firstLineChars="200"/>
    </w:pPr>
  </w:style>
  <w:style w:type="paragraph" w:styleId="3">
    <w:name w:val="Subtitle"/>
    <w:basedOn w:val="1"/>
    <w:next w:val="1"/>
    <w:qFormat/>
    <w:uiPriority w:val="0"/>
    <w:pPr>
      <w:spacing w:before="240" w:after="60" w:line="312" w:lineRule="auto"/>
      <w:jc w:val="center"/>
      <w:outlineLvl w:val="1"/>
    </w:pPr>
    <w:rPr>
      <w:b/>
      <w:bCs/>
      <w:kern w:val="28"/>
      <w:sz w:val="32"/>
      <w:szCs w:val="32"/>
    </w:rPr>
  </w:style>
  <w:style w:type="paragraph" w:styleId="5">
    <w:name w:val="Balloon Text"/>
    <w:basedOn w:val="1"/>
    <w:semiHidden/>
    <w:qFormat/>
    <w:uiPriority w:val="99"/>
    <w:rPr>
      <w:sz w:val="18"/>
      <w:szCs w:val="18"/>
    </w:r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font41"/>
    <w:basedOn w:val="7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0">
    <w:name w:val="font21"/>
    <w:basedOn w:val="7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1">
    <w:name w:val="font51"/>
    <w:basedOn w:val="7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12">
    <w:name w:val="font31"/>
    <w:basedOn w:val="7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3">
    <w:name w:val="font11"/>
    <w:basedOn w:val="7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  <w:vertAlign w:val="superscript"/>
    </w:rPr>
  </w:style>
  <w:style w:type="character" w:customStyle="1" w:styleId="14">
    <w:name w:val="font81"/>
    <w:basedOn w:val="7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15">
    <w:name w:val="font71"/>
    <w:basedOn w:val="7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6">
    <w:name w:val="font01"/>
    <w:basedOn w:val="7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  <w:vertAlign w:val="superscript"/>
    </w:rPr>
  </w:style>
  <w:style w:type="character" w:customStyle="1" w:styleId="17">
    <w:name w:val="font61"/>
    <w:basedOn w:val="7"/>
    <w:qFormat/>
    <w:uiPriority w:val="0"/>
    <w:rPr>
      <w:rFonts w:hint="eastAsia" w:ascii="宋体" w:hAnsi="宋体" w:eastAsia="宋体" w:cs="宋体"/>
      <w:b/>
      <w:color w:val="000000"/>
      <w:sz w:val="18"/>
      <w:szCs w:val="18"/>
      <w:u w:val="none"/>
    </w:rPr>
  </w:style>
  <w:style w:type="character" w:customStyle="1" w:styleId="18">
    <w:name w:val="font111"/>
    <w:basedOn w:val="7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9">
    <w:name w:val="font12"/>
    <w:basedOn w:val="7"/>
    <w:qFormat/>
    <w:uiPriority w:val="0"/>
    <w:rPr>
      <w:rFonts w:hint="default" w:ascii="Times New Roman" w:hAnsi="Times New Roman" w:cs="Times New Roman"/>
      <w:b/>
      <w:color w:val="000000"/>
      <w:sz w:val="18"/>
      <w:szCs w:val="18"/>
      <w:u w:val="none"/>
      <w:vertAlign w:val="superscript"/>
    </w:rPr>
  </w:style>
  <w:style w:type="character" w:customStyle="1" w:styleId="20">
    <w:name w:val="font122"/>
    <w:basedOn w:val="7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2023-09-24T16:17:00Z</dcterms:created>
  <dc:creator> 曾姿</dc:creator>
  <cp:lastModifiedBy>陌</cp:lastModifiedBy>
  <dcterms:modified xsi:type="dcterms:W3CDTF">2023-12-15T08:40:00Z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0B4BBD59D3434FE6B3A2A26CB3C5253B_12</vt:lpwstr>
  </property>
</Properties>
</file>